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20" w:rsidRDefault="00B82320" w:rsidP="00B82320">
      <w:pPr>
        <w:spacing w:after="0" w:line="240" w:lineRule="auto"/>
        <w:rPr>
          <w:rFonts w:cs="Arial"/>
          <w:b/>
          <w:szCs w:val="20"/>
          <w:u w:val="single"/>
        </w:rPr>
      </w:pPr>
      <w:r>
        <w:rPr>
          <w:rFonts w:cs="Arial"/>
          <w:b/>
          <w:szCs w:val="20"/>
          <w:u w:val="single"/>
        </w:rPr>
        <w:t>Taak 5B:</w:t>
      </w:r>
    </w:p>
    <w:p w:rsidR="00B82320" w:rsidRPr="006255FB" w:rsidRDefault="00B82320" w:rsidP="00B82320">
      <w:pPr>
        <w:spacing w:after="0" w:line="240" w:lineRule="auto"/>
        <w:rPr>
          <w:rFonts w:asciiTheme="minorHAnsi" w:hAnsiTheme="minorHAnsi"/>
          <w:sz w:val="22"/>
        </w:rPr>
      </w:pPr>
      <w:r w:rsidRPr="006255FB">
        <w:rPr>
          <w:rFonts w:asciiTheme="minorHAnsi" w:hAnsiTheme="minorHAnsi"/>
          <w:sz w:val="22"/>
        </w:rPr>
        <w:t xml:space="preserve">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938"/>
      </w:tblGrid>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tabs>
                <w:tab w:val="left" w:pos="1440"/>
              </w:tabs>
              <w:spacing w:after="0" w:line="240" w:lineRule="auto"/>
              <w:rPr>
                <w:rFonts w:cs="Arial"/>
                <w:szCs w:val="20"/>
              </w:rPr>
            </w:pPr>
            <w:r w:rsidRPr="000D40B1">
              <w:rPr>
                <w:rFonts w:cs="Arial"/>
                <w:szCs w:val="20"/>
              </w:rPr>
              <w:t>Soort taak</w:t>
            </w:r>
            <w:r w:rsidRPr="000D40B1">
              <w:rPr>
                <w:rFonts w:cs="Arial"/>
                <w:szCs w:val="20"/>
              </w:rPr>
              <w:tab/>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r w:rsidRPr="000D40B1">
              <w:rPr>
                <w:rFonts w:cs="Arial"/>
                <w:szCs w:val="20"/>
              </w:rPr>
              <w:t>Studietaak</w:t>
            </w:r>
          </w:p>
        </w:tc>
      </w:tr>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spacing w:after="0" w:line="240" w:lineRule="auto"/>
              <w:rPr>
                <w:rFonts w:cs="Arial"/>
                <w:szCs w:val="20"/>
              </w:rPr>
            </w:pPr>
            <w:r w:rsidRPr="000D40B1">
              <w:rPr>
                <w:rFonts w:cs="Arial"/>
                <w:szCs w:val="20"/>
              </w:rPr>
              <w:t>Titel</w:t>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bookmarkStart w:id="0" w:name="_GoBack"/>
            <w:r w:rsidRPr="000D40B1">
              <w:rPr>
                <w:rFonts w:cs="Arial"/>
                <w:szCs w:val="20"/>
              </w:rPr>
              <w:t xml:space="preserve">Geneesmiddelen bij hypertensie </w:t>
            </w:r>
            <w:bookmarkEnd w:id="0"/>
          </w:p>
        </w:tc>
      </w:tr>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spacing w:after="0" w:line="240" w:lineRule="auto"/>
              <w:rPr>
                <w:rFonts w:cs="Arial"/>
                <w:szCs w:val="20"/>
              </w:rPr>
            </w:pPr>
            <w:r w:rsidRPr="000D40B1">
              <w:rPr>
                <w:rFonts w:cs="Arial"/>
                <w:szCs w:val="20"/>
              </w:rPr>
              <w:t>Inleiding</w:t>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r w:rsidRPr="000D40B1">
              <w:rPr>
                <w:rFonts w:cs="Arial"/>
                <w:szCs w:val="20"/>
              </w:rPr>
              <w:t>Hoge bloeddruk komt bij veel patiënten voor. Vaak wordt dit bij een routinecontrole vastgesteld. De mensen hebben nergens last van en vinden het soms vervelend om vaak lang medicijnen te moeten slikken. In de taken hypertensie kijken we naar de medicijnen bij hypertensie. We beginnen met de diuretica</w:t>
            </w:r>
            <w:r>
              <w:rPr>
                <w:rFonts w:cs="Arial"/>
                <w:szCs w:val="20"/>
              </w:rPr>
              <w:t xml:space="preserve">. Daarna gaan we aan de slag </w:t>
            </w:r>
            <w:r w:rsidRPr="000D40B1">
              <w:rPr>
                <w:rFonts w:cs="Arial"/>
                <w:szCs w:val="20"/>
              </w:rPr>
              <w:t>met andere groepen geneesmiddelen die veel bij hypertensie worden gebruikt en de vragen die je omtrent hypertensie gesteld kunnen worden.</w:t>
            </w:r>
          </w:p>
        </w:tc>
      </w:tr>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spacing w:after="0" w:line="240" w:lineRule="auto"/>
              <w:rPr>
                <w:rFonts w:cs="Arial"/>
                <w:szCs w:val="20"/>
              </w:rPr>
            </w:pPr>
            <w:r w:rsidRPr="000D40B1">
              <w:rPr>
                <w:rFonts w:cs="Arial"/>
                <w:szCs w:val="20"/>
              </w:rPr>
              <w:t>Werkwijze</w:t>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r w:rsidRPr="000D40B1">
              <w:rPr>
                <w:rFonts w:cs="Arial"/>
                <w:szCs w:val="20"/>
              </w:rPr>
              <w:t>Maak de volgende vragen nadat je de aangegeven stof – zie media - hebt bestudeerd.</w:t>
            </w:r>
          </w:p>
          <w:p w:rsidR="00B82320" w:rsidRPr="000D40B1" w:rsidRDefault="00B82320" w:rsidP="00B82320">
            <w:pPr>
              <w:numPr>
                <w:ilvl w:val="0"/>
                <w:numId w:val="1"/>
              </w:numPr>
              <w:spacing w:after="0" w:line="240" w:lineRule="auto"/>
              <w:rPr>
                <w:rFonts w:cs="Arial"/>
                <w:szCs w:val="20"/>
              </w:rPr>
            </w:pPr>
            <w:r w:rsidRPr="000D40B1">
              <w:rPr>
                <w:rFonts w:cs="Arial"/>
                <w:szCs w:val="20"/>
              </w:rPr>
              <w:t>Wanneer wordt iemand met hoge bloeddruk met medicijnen behandeld?</w:t>
            </w:r>
          </w:p>
          <w:p w:rsidR="00B82320" w:rsidRPr="000D40B1" w:rsidRDefault="00B82320" w:rsidP="00B82320">
            <w:pPr>
              <w:numPr>
                <w:ilvl w:val="0"/>
                <w:numId w:val="1"/>
              </w:numPr>
              <w:spacing w:after="0" w:line="240" w:lineRule="auto"/>
              <w:rPr>
                <w:rFonts w:cs="Arial"/>
                <w:szCs w:val="20"/>
              </w:rPr>
            </w:pPr>
            <w:r w:rsidRPr="000D40B1">
              <w:rPr>
                <w:rFonts w:cs="Arial"/>
                <w:szCs w:val="20"/>
              </w:rPr>
              <w:t>Welke groepen geneesmiddelen worden bij hoge bloeddruk gebruikt?</w:t>
            </w:r>
          </w:p>
          <w:p w:rsidR="00B82320" w:rsidRPr="000D40B1" w:rsidRDefault="00B82320" w:rsidP="00B82320">
            <w:pPr>
              <w:numPr>
                <w:ilvl w:val="0"/>
                <w:numId w:val="1"/>
              </w:numPr>
              <w:spacing w:after="0" w:line="240" w:lineRule="auto"/>
              <w:rPr>
                <w:rFonts w:cs="Arial"/>
                <w:szCs w:val="20"/>
              </w:rPr>
            </w:pPr>
            <w:r w:rsidRPr="000D40B1">
              <w:rPr>
                <w:rFonts w:cs="Arial"/>
                <w:szCs w:val="20"/>
              </w:rPr>
              <w:t>Wat is het verschil tussen essentiële en secundaire hypertensie?</w:t>
            </w:r>
          </w:p>
          <w:p w:rsidR="00B82320" w:rsidRPr="000D40B1" w:rsidRDefault="00B82320" w:rsidP="00B82320">
            <w:pPr>
              <w:numPr>
                <w:ilvl w:val="0"/>
                <w:numId w:val="1"/>
              </w:numPr>
              <w:spacing w:after="0" w:line="240" w:lineRule="auto"/>
              <w:rPr>
                <w:rFonts w:cs="Arial"/>
                <w:szCs w:val="20"/>
              </w:rPr>
            </w:pPr>
            <w:r w:rsidRPr="000D40B1">
              <w:rPr>
                <w:rFonts w:cs="Arial"/>
                <w:szCs w:val="20"/>
              </w:rPr>
              <w:t>Welke 3 groepen diuretica zijn er? Noem van elke groep een voorbeeld. Welke groep wordt vooral gebruikt bij hypertensie? Wat zijn de bijwerkingen van deze groep/</w:t>
            </w:r>
          </w:p>
          <w:p w:rsidR="00B82320" w:rsidRPr="000D40B1" w:rsidRDefault="00B82320" w:rsidP="00B82320">
            <w:pPr>
              <w:numPr>
                <w:ilvl w:val="0"/>
                <w:numId w:val="1"/>
              </w:numPr>
              <w:spacing w:after="0" w:line="240" w:lineRule="auto"/>
              <w:rPr>
                <w:rFonts w:cs="Arial"/>
                <w:szCs w:val="20"/>
              </w:rPr>
            </w:pPr>
            <w:r w:rsidRPr="000D40B1">
              <w:rPr>
                <w:rFonts w:cs="Arial"/>
                <w:szCs w:val="20"/>
              </w:rPr>
              <w:t>Schrijf een herhalingsrecept voor Mevr. De Vries die al ruim 2 jaar hydrochloorthiazide 25 mg 1x daags gebruikt.</w:t>
            </w:r>
          </w:p>
          <w:p w:rsidR="00B82320" w:rsidRPr="000D40B1" w:rsidRDefault="00B82320" w:rsidP="00B82320">
            <w:pPr>
              <w:numPr>
                <w:ilvl w:val="0"/>
                <w:numId w:val="1"/>
              </w:numPr>
              <w:spacing w:after="0" w:line="240" w:lineRule="auto"/>
              <w:rPr>
                <w:rFonts w:cs="Arial"/>
                <w:szCs w:val="20"/>
              </w:rPr>
            </w:pPr>
            <w:r w:rsidRPr="000D40B1">
              <w:rPr>
                <w:rFonts w:cs="Arial"/>
                <w:szCs w:val="20"/>
              </w:rPr>
              <w:t>Mevr. De Vries heeft ook diabetes. Welk effect heeft hydrochloorthiazide  hierop?</w:t>
            </w:r>
          </w:p>
          <w:p w:rsidR="00B82320" w:rsidRPr="000D40B1" w:rsidRDefault="00B82320" w:rsidP="00B82320">
            <w:pPr>
              <w:numPr>
                <w:ilvl w:val="0"/>
                <w:numId w:val="1"/>
              </w:numPr>
              <w:spacing w:after="0" w:line="240" w:lineRule="auto"/>
              <w:rPr>
                <w:rFonts w:cs="Arial"/>
                <w:szCs w:val="20"/>
              </w:rPr>
            </w:pPr>
            <w:r w:rsidRPr="000D40B1">
              <w:rPr>
                <w:rFonts w:cs="Arial"/>
                <w:szCs w:val="20"/>
              </w:rPr>
              <w:t>Bij welk ziektebeeld wordt vaak furosemide toegepast?</w:t>
            </w:r>
          </w:p>
          <w:p w:rsidR="00B82320" w:rsidRPr="000D40B1" w:rsidRDefault="00B82320" w:rsidP="00B82320">
            <w:pPr>
              <w:numPr>
                <w:ilvl w:val="0"/>
                <w:numId w:val="1"/>
              </w:numPr>
              <w:spacing w:after="0" w:line="240" w:lineRule="auto"/>
              <w:rPr>
                <w:rFonts w:cs="Arial"/>
                <w:szCs w:val="20"/>
              </w:rPr>
            </w:pPr>
            <w:r w:rsidRPr="000D40B1">
              <w:rPr>
                <w:rFonts w:cs="Arial"/>
                <w:szCs w:val="20"/>
              </w:rPr>
              <w:t>Wat is de normaalwaarde voor kalium? NB niet uit je hoofd leren!</w:t>
            </w:r>
          </w:p>
          <w:p w:rsidR="00B82320" w:rsidRPr="000D40B1" w:rsidRDefault="00B82320" w:rsidP="00B82320">
            <w:pPr>
              <w:numPr>
                <w:ilvl w:val="0"/>
                <w:numId w:val="1"/>
              </w:numPr>
              <w:spacing w:after="0" w:line="240" w:lineRule="auto"/>
              <w:rPr>
                <w:rFonts w:cs="Arial"/>
                <w:szCs w:val="20"/>
              </w:rPr>
            </w:pPr>
            <w:r w:rsidRPr="000D40B1">
              <w:rPr>
                <w:rFonts w:cs="Arial"/>
                <w:szCs w:val="20"/>
              </w:rPr>
              <w:t>Welke gevaren heeft een te hoog kaliumgehalte?</w:t>
            </w:r>
          </w:p>
          <w:p w:rsidR="00B82320" w:rsidRPr="000D40B1" w:rsidRDefault="00B82320" w:rsidP="00B82320">
            <w:pPr>
              <w:numPr>
                <w:ilvl w:val="0"/>
                <w:numId w:val="1"/>
              </w:numPr>
              <w:spacing w:after="0" w:line="240" w:lineRule="auto"/>
              <w:rPr>
                <w:rFonts w:cs="Arial"/>
                <w:szCs w:val="20"/>
              </w:rPr>
            </w:pPr>
            <w:r w:rsidRPr="000D40B1">
              <w:rPr>
                <w:rFonts w:cs="Arial"/>
                <w:szCs w:val="20"/>
              </w:rPr>
              <w:t>Welke gevaren heeft een te laag kaliumgehalte?</w:t>
            </w:r>
          </w:p>
          <w:p w:rsidR="00B82320" w:rsidRPr="000D40B1" w:rsidRDefault="00B82320" w:rsidP="00B82320">
            <w:pPr>
              <w:numPr>
                <w:ilvl w:val="0"/>
                <w:numId w:val="1"/>
              </w:numPr>
              <w:spacing w:after="0" w:line="240" w:lineRule="auto"/>
              <w:rPr>
                <w:rFonts w:cs="Arial"/>
                <w:szCs w:val="20"/>
              </w:rPr>
            </w:pPr>
            <w:r w:rsidRPr="000D40B1">
              <w:rPr>
                <w:rFonts w:cs="Arial"/>
                <w:szCs w:val="20"/>
              </w:rPr>
              <w:t>Dhr. Vergeer gebruikt amiloride-hydrochloorthiazide 5/50. Wat betekent 5/50?</w:t>
            </w:r>
          </w:p>
          <w:p w:rsidR="00B82320" w:rsidRPr="000D40B1" w:rsidRDefault="00B82320" w:rsidP="00B82320">
            <w:pPr>
              <w:numPr>
                <w:ilvl w:val="0"/>
                <w:numId w:val="1"/>
              </w:numPr>
              <w:spacing w:after="0" w:line="240" w:lineRule="auto"/>
              <w:rPr>
                <w:rFonts w:cs="Arial"/>
                <w:szCs w:val="20"/>
              </w:rPr>
            </w:pPr>
            <w:r w:rsidRPr="000D40B1">
              <w:rPr>
                <w:rFonts w:cs="Arial"/>
                <w:szCs w:val="20"/>
              </w:rPr>
              <w:t>Schrijf een herhalingsrecept voor Mevr. De Vries die van hydrochloorthiazide overgaat op amiloride-hydrochloorthiazide 5/50.</w:t>
            </w:r>
          </w:p>
          <w:p w:rsidR="00B82320" w:rsidRPr="000D40B1" w:rsidRDefault="00B82320" w:rsidP="00B82320">
            <w:pPr>
              <w:numPr>
                <w:ilvl w:val="0"/>
                <w:numId w:val="1"/>
              </w:numPr>
              <w:spacing w:after="0" w:line="240" w:lineRule="auto"/>
              <w:rPr>
                <w:rFonts w:cs="Arial"/>
                <w:szCs w:val="20"/>
              </w:rPr>
            </w:pPr>
            <w:r w:rsidRPr="000D40B1">
              <w:rPr>
                <w:rFonts w:cs="Arial"/>
                <w:szCs w:val="20"/>
              </w:rPr>
              <w:t>Kun je uitleggen wat het begrip bètablokker betekent?</w:t>
            </w:r>
          </w:p>
          <w:p w:rsidR="00B82320" w:rsidRPr="000D40B1" w:rsidRDefault="00B82320" w:rsidP="00B82320">
            <w:pPr>
              <w:numPr>
                <w:ilvl w:val="0"/>
                <w:numId w:val="1"/>
              </w:numPr>
              <w:spacing w:after="0" w:line="240" w:lineRule="auto"/>
              <w:rPr>
                <w:rFonts w:cs="Arial"/>
                <w:szCs w:val="20"/>
              </w:rPr>
            </w:pPr>
            <w:r w:rsidRPr="000D40B1">
              <w:rPr>
                <w:rFonts w:cs="Arial"/>
                <w:szCs w:val="20"/>
              </w:rPr>
              <w:t>Kun je uitleggen wat het begrip ACE-remmers betekent?</w:t>
            </w:r>
          </w:p>
          <w:p w:rsidR="00B82320" w:rsidRPr="000D40B1" w:rsidRDefault="00B82320" w:rsidP="00B82320">
            <w:pPr>
              <w:numPr>
                <w:ilvl w:val="0"/>
                <w:numId w:val="1"/>
              </w:numPr>
              <w:spacing w:after="0" w:line="240" w:lineRule="auto"/>
              <w:rPr>
                <w:rFonts w:cs="Arial"/>
                <w:szCs w:val="20"/>
              </w:rPr>
            </w:pPr>
            <w:r w:rsidRPr="000D40B1">
              <w:rPr>
                <w:rFonts w:cs="Arial"/>
                <w:szCs w:val="20"/>
              </w:rPr>
              <w:t xml:space="preserve">Kun je uitleggen wat het begrip </w:t>
            </w:r>
            <w:proofErr w:type="spellStart"/>
            <w:r w:rsidRPr="000D40B1">
              <w:rPr>
                <w:rFonts w:cs="Arial"/>
                <w:szCs w:val="20"/>
              </w:rPr>
              <w:t>calcium-antagonisten</w:t>
            </w:r>
            <w:proofErr w:type="spellEnd"/>
            <w:r w:rsidRPr="000D40B1">
              <w:rPr>
                <w:rFonts w:cs="Arial"/>
                <w:szCs w:val="20"/>
              </w:rPr>
              <w:t xml:space="preserve"> betekent?</w:t>
            </w:r>
          </w:p>
          <w:p w:rsidR="00B82320" w:rsidRPr="000D40B1" w:rsidRDefault="00B82320" w:rsidP="00B82320">
            <w:pPr>
              <w:numPr>
                <w:ilvl w:val="0"/>
                <w:numId w:val="1"/>
              </w:numPr>
              <w:spacing w:after="0" w:line="240" w:lineRule="auto"/>
              <w:rPr>
                <w:rFonts w:cs="Arial"/>
                <w:szCs w:val="20"/>
              </w:rPr>
            </w:pPr>
            <w:r w:rsidRPr="000D40B1">
              <w:rPr>
                <w:rFonts w:cs="Arial"/>
                <w:szCs w:val="20"/>
              </w:rPr>
              <w:t>Noem 2 middelen uit bovenstaande 3 groepen.</w:t>
            </w:r>
          </w:p>
          <w:p w:rsidR="00B82320" w:rsidRPr="000D40B1" w:rsidRDefault="00B82320" w:rsidP="00B82320">
            <w:pPr>
              <w:numPr>
                <w:ilvl w:val="0"/>
                <w:numId w:val="1"/>
              </w:numPr>
              <w:spacing w:after="0" w:line="240" w:lineRule="auto"/>
              <w:rPr>
                <w:rFonts w:cs="Arial"/>
                <w:szCs w:val="20"/>
              </w:rPr>
            </w:pPr>
            <w:r w:rsidRPr="000D40B1">
              <w:rPr>
                <w:rFonts w:cs="Arial"/>
                <w:szCs w:val="20"/>
              </w:rPr>
              <w:t>Leg uit wat therapietrouw is.</w:t>
            </w:r>
          </w:p>
          <w:p w:rsidR="00B82320" w:rsidRPr="000D40B1" w:rsidRDefault="00B82320" w:rsidP="00B82320">
            <w:pPr>
              <w:numPr>
                <w:ilvl w:val="0"/>
                <w:numId w:val="1"/>
              </w:numPr>
              <w:spacing w:after="0" w:line="240" w:lineRule="auto"/>
              <w:rPr>
                <w:rFonts w:cs="Arial"/>
                <w:szCs w:val="20"/>
              </w:rPr>
            </w:pPr>
            <w:r w:rsidRPr="000D40B1">
              <w:rPr>
                <w:rFonts w:cs="Arial"/>
                <w:szCs w:val="20"/>
              </w:rPr>
              <w:t>Hoe denk je dat de therapietrouw is van mensen die antihypertensiva slikken? Goed of slecht en motiveer dit.</w:t>
            </w:r>
          </w:p>
          <w:p w:rsidR="00B82320" w:rsidRPr="000D40B1" w:rsidRDefault="00B82320" w:rsidP="00B82320">
            <w:pPr>
              <w:numPr>
                <w:ilvl w:val="0"/>
                <w:numId w:val="1"/>
              </w:numPr>
              <w:spacing w:after="0" w:line="240" w:lineRule="auto"/>
              <w:rPr>
                <w:rFonts w:cs="Arial"/>
                <w:szCs w:val="20"/>
              </w:rPr>
            </w:pPr>
            <w:r w:rsidRPr="000D40B1">
              <w:rPr>
                <w:rFonts w:cs="Arial"/>
                <w:szCs w:val="20"/>
              </w:rPr>
              <w:t>Zoek van de middelen die bij drie bovengenoemde groepen worden genoemd de belangrijkste bijwerkingen.</w:t>
            </w:r>
          </w:p>
          <w:p w:rsidR="00B82320" w:rsidRPr="000D40B1" w:rsidRDefault="00B82320" w:rsidP="00B82320">
            <w:pPr>
              <w:numPr>
                <w:ilvl w:val="0"/>
                <w:numId w:val="1"/>
              </w:numPr>
              <w:spacing w:after="0" w:line="240" w:lineRule="auto"/>
              <w:rPr>
                <w:rFonts w:cs="Arial"/>
                <w:szCs w:val="20"/>
              </w:rPr>
            </w:pPr>
            <w:r w:rsidRPr="000D40B1">
              <w:rPr>
                <w:rFonts w:cs="Arial"/>
                <w:szCs w:val="20"/>
              </w:rPr>
              <w:t>Zet de aandoeningen (naast de hypertensie) waarbij deze groepen geneesmiddelen worden gebruikt op een rijtje.</w:t>
            </w:r>
          </w:p>
          <w:p w:rsidR="00B82320" w:rsidRPr="000D40B1" w:rsidRDefault="00B82320" w:rsidP="00B82320">
            <w:pPr>
              <w:numPr>
                <w:ilvl w:val="0"/>
                <w:numId w:val="1"/>
              </w:numPr>
              <w:spacing w:after="0" w:line="240" w:lineRule="auto"/>
              <w:rPr>
                <w:rFonts w:cs="Arial"/>
                <w:szCs w:val="20"/>
              </w:rPr>
            </w:pPr>
            <w:r w:rsidRPr="000D40B1">
              <w:rPr>
                <w:rFonts w:cs="Arial"/>
                <w:szCs w:val="20"/>
              </w:rPr>
              <w:t>Voor hoelang worden medicijnen meegegeven bij een herhalingsrecept voor antihypertensiva?</w:t>
            </w:r>
          </w:p>
          <w:p w:rsidR="00B82320" w:rsidRPr="000D40B1" w:rsidRDefault="00B82320" w:rsidP="00B82320">
            <w:pPr>
              <w:numPr>
                <w:ilvl w:val="0"/>
                <w:numId w:val="1"/>
              </w:numPr>
              <w:spacing w:after="0" w:line="240" w:lineRule="auto"/>
              <w:rPr>
                <w:rFonts w:cs="Arial"/>
                <w:szCs w:val="20"/>
              </w:rPr>
            </w:pPr>
            <w:r w:rsidRPr="000D40B1">
              <w:rPr>
                <w:rFonts w:cs="Arial"/>
                <w:szCs w:val="20"/>
              </w:rPr>
              <w:t>Wat is het voordeel en wat het nadeel van de combinatie van 2 of meer middelen uit verschillende groepen in 1 tablet?</w:t>
            </w:r>
          </w:p>
        </w:tc>
      </w:tr>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spacing w:after="0" w:line="240" w:lineRule="auto"/>
              <w:rPr>
                <w:rFonts w:cs="Arial"/>
                <w:szCs w:val="20"/>
              </w:rPr>
            </w:pPr>
            <w:r w:rsidRPr="000D40B1">
              <w:rPr>
                <w:rFonts w:cs="Arial"/>
                <w:szCs w:val="20"/>
              </w:rPr>
              <w:t>Ondersteuning</w:t>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r w:rsidRPr="000D40B1">
              <w:rPr>
                <w:rFonts w:cs="Arial"/>
                <w:szCs w:val="20"/>
              </w:rPr>
              <w:t>PP Geneesmiddelen bij hypertensie</w:t>
            </w:r>
          </w:p>
        </w:tc>
      </w:tr>
      <w:tr w:rsidR="00B82320" w:rsidRPr="006255FB" w:rsidTr="00B26D69">
        <w:tc>
          <w:tcPr>
            <w:tcW w:w="1701" w:type="dxa"/>
            <w:tcBorders>
              <w:left w:val="double" w:sz="6" w:space="0" w:color="auto"/>
              <w:right w:val="double" w:sz="6" w:space="0" w:color="auto"/>
            </w:tcBorders>
            <w:shd w:val="clear" w:color="auto" w:fill="FFFFFF"/>
          </w:tcPr>
          <w:p w:rsidR="00B82320" w:rsidRPr="000D40B1" w:rsidRDefault="00B82320" w:rsidP="00B26D69">
            <w:pPr>
              <w:spacing w:after="0" w:line="240" w:lineRule="auto"/>
              <w:rPr>
                <w:rFonts w:cs="Arial"/>
                <w:szCs w:val="20"/>
              </w:rPr>
            </w:pPr>
            <w:r w:rsidRPr="000D40B1">
              <w:rPr>
                <w:rFonts w:cs="Arial"/>
                <w:szCs w:val="20"/>
              </w:rPr>
              <w:t>Media</w:t>
            </w:r>
          </w:p>
        </w:tc>
        <w:tc>
          <w:tcPr>
            <w:tcW w:w="7938" w:type="dxa"/>
            <w:tcBorders>
              <w:left w:val="double" w:sz="6" w:space="0" w:color="auto"/>
              <w:right w:val="double" w:sz="6" w:space="0" w:color="auto"/>
            </w:tcBorders>
          </w:tcPr>
          <w:p w:rsidR="00B82320" w:rsidRPr="000D40B1" w:rsidRDefault="00B82320" w:rsidP="00B26D69">
            <w:pPr>
              <w:spacing w:after="0" w:line="240" w:lineRule="auto"/>
              <w:rPr>
                <w:rFonts w:cs="Arial"/>
                <w:szCs w:val="20"/>
              </w:rPr>
            </w:pPr>
            <w:r w:rsidRPr="000D40B1">
              <w:rPr>
                <w:rFonts w:cs="Arial"/>
                <w:szCs w:val="20"/>
              </w:rPr>
              <w:t xml:space="preserve">Farmacotherapeutisch Kompas </w:t>
            </w:r>
          </w:p>
          <w:p w:rsidR="00B82320" w:rsidRPr="000D40B1" w:rsidRDefault="00B82320" w:rsidP="00B26D69">
            <w:pPr>
              <w:spacing w:after="0" w:line="240" w:lineRule="auto"/>
              <w:rPr>
                <w:rFonts w:cs="Arial"/>
                <w:szCs w:val="20"/>
              </w:rPr>
            </w:pPr>
            <w:r w:rsidRPr="000D40B1">
              <w:rPr>
                <w:rFonts w:cs="Arial"/>
                <w:szCs w:val="20"/>
              </w:rPr>
              <w:t>Medische Kennis H 3 (3.1)</w:t>
            </w:r>
          </w:p>
          <w:p w:rsidR="00B82320" w:rsidRPr="000D40B1" w:rsidRDefault="00B82320" w:rsidP="00B26D69">
            <w:pPr>
              <w:spacing w:after="0" w:line="240" w:lineRule="auto"/>
              <w:rPr>
                <w:rFonts w:cs="Arial"/>
                <w:szCs w:val="20"/>
              </w:rPr>
            </w:pPr>
            <w:r w:rsidRPr="000D40B1">
              <w:rPr>
                <w:rFonts w:cs="Arial"/>
                <w:szCs w:val="20"/>
              </w:rPr>
              <w:t>Eigen spreekuur en chronische ziekten H. 2 (2.6)</w:t>
            </w:r>
          </w:p>
          <w:p w:rsidR="00B82320" w:rsidRPr="000D40B1" w:rsidRDefault="00B82320" w:rsidP="00B26D69">
            <w:pPr>
              <w:spacing w:after="0" w:line="240" w:lineRule="auto"/>
              <w:rPr>
                <w:rFonts w:cs="Arial"/>
                <w:szCs w:val="20"/>
              </w:rPr>
            </w:pPr>
            <w:r w:rsidRPr="000D40B1">
              <w:rPr>
                <w:rFonts w:cs="Arial"/>
                <w:szCs w:val="20"/>
              </w:rPr>
              <w:t>Geneesmiddelenkennis voor doktersassistenten H 7 (7.1; 7.4)</w:t>
            </w:r>
          </w:p>
        </w:tc>
      </w:tr>
    </w:tbl>
    <w:p w:rsidR="00B82320" w:rsidRPr="000D40B1" w:rsidRDefault="00B82320" w:rsidP="00B82320">
      <w:pPr>
        <w:spacing w:after="0" w:line="240" w:lineRule="auto"/>
        <w:rPr>
          <w:rFonts w:cs="Arial"/>
          <w:b/>
          <w:szCs w:val="20"/>
          <w:u w:val="single"/>
        </w:rPr>
      </w:pPr>
    </w:p>
    <w:p w:rsidR="00453CA7" w:rsidRDefault="00B82320"/>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54ADF"/>
    <w:multiLevelType w:val="hybridMultilevel"/>
    <w:tmpl w:val="38E62FB8"/>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20"/>
    <w:rsid w:val="008C3A90"/>
    <w:rsid w:val="00B401FE"/>
    <w:rsid w:val="00B82320"/>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603F-1255-46FD-ABD7-89BEE407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82320"/>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2017-03-17T18:09:00Z</dcterms:created>
  <dcterms:modified xsi:type="dcterms:W3CDTF">2017-03-17T18:09:00Z</dcterms:modified>
</cp:coreProperties>
</file>